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4E870" w14:textId="77777777" w:rsidR="002C22AA" w:rsidRDefault="002C22AA" w:rsidP="002C22AA">
      <w:pPr>
        <w:pStyle w:val="isselectedend"/>
      </w:pPr>
      <w:r>
        <w:rPr>
          <w:rStyle w:val="Naglaeno"/>
          <w:rFonts w:eastAsiaTheme="majorEastAsia"/>
        </w:rPr>
        <w:t>IZVJEŠĆE O PROVEDBI PLANA UPRAVLJANJA IMOVINOM</w:t>
      </w:r>
      <w:r>
        <w:rPr>
          <w:b/>
          <w:bCs/>
        </w:rPr>
        <w:br/>
      </w:r>
      <w:r>
        <w:rPr>
          <w:rStyle w:val="Naglaeno"/>
          <w:rFonts w:eastAsiaTheme="majorEastAsia"/>
        </w:rPr>
        <w:t>OPĆINE DONJA DUBRAVA ZA 2025. GODINU</w:t>
      </w:r>
    </w:p>
    <w:p w14:paraId="3B05E8F4" w14:textId="77777777" w:rsidR="002C22AA" w:rsidRDefault="002C22AA" w:rsidP="002C22AA">
      <w:pPr>
        <w:pStyle w:val="isselectedend"/>
        <w:jc w:val="both"/>
      </w:pPr>
      <w:r>
        <w:t>Plan upravljanja imovinom Općine Donja Dubrava za 2025. godinu donesen je s ciljem učinkovitog i transparentnog upravljanja imovinom u vlasništvu Općine te stvaranja preduvjeta za njezino racionalno korištenje i razvoj projekata od interesa za lokalnu zajednicu.</w:t>
      </w:r>
    </w:p>
    <w:p w14:paraId="6CC6B16E" w14:textId="77777777" w:rsidR="002C22AA" w:rsidRDefault="002C22AA" w:rsidP="002C22AA">
      <w:pPr>
        <w:pStyle w:val="isselectedend"/>
        <w:jc w:val="both"/>
      </w:pPr>
      <w:r>
        <w:t>Tijekom 2025. godine provedene su aktivnosti predviđene Planom upravljanja imovinom, kako slijedi.</w:t>
      </w:r>
    </w:p>
    <w:p w14:paraId="1D91AC2B" w14:textId="3C713870" w:rsidR="002C22AA" w:rsidRDefault="002C22AA" w:rsidP="002C22AA">
      <w:pPr>
        <w:pStyle w:val="isselectedend"/>
        <w:jc w:val="both"/>
      </w:pPr>
      <w:r>
        <w:t xml:space="preserve">Jedna od planiranih aktivnosti odnosila se na zemljište kod Međimurske lastavice, katastarska čestica 5091/4 k.o. Donja Dubrava, za koju je bilo predviđeno pokretanje postupka darovanja od strane Ministarstva prostornoga uređenja, graditeljstva i državne imovine. Općina Donja Dubrava podnijela je </w:t>
      </w:r>
      <w:r w:rsidR="003016C7">
        <w:t>Z</w:t>
      </w:r>
      <w:r>
        <w:t>ahtjev za darovanje predmetne nekretnine, a postupak je uspješno okončan donošenjem Odluke Ministarstva prostornoga uređenja, graditeljstva i državne imovine (KLASA: 940-01/25-04/64, URBROJ: 531-15-2-3-25-12) od 12. kolovoza 2025. godine, temeljem koje je navedena nekretnina darovana Općini Donja Dubrava.</w:t>
      </w:r>
    </w:p>
    <w:p w14:paraId="3F05A3C7" w14:textId="328AEFC2" w:rsidR="003016C7" w:rsidRDefault="003016C7" w:rsidP="002C22AA">
      <w:pPr>
        <w:pStyle w:val="StandardWeb"/>
        <w:jc w:val="both"/>
      </w:pPr>
      <w:r>
        <w:t>Dolje u nastavku je popis</w:t>
      </w:r>
      <w:r w:rsidR="002C22AA">
        <w:t xml:space="preserve"> čestice koje su bile </w:t>
      </w:r>
      <w:r>
        <w:t xml:space="preserve">još </w:t>
      </w:r>
      <w:r w:rsidR="002C22AA">
        <w:t>navedene u Planu upravljanja imovinom za 2025. godinu</w:t>
      </w:r>
      <w:r>
        <w:t>, a</w:t>
      </w:r>
      <w:r w:rsidR="002C22AA">
        <w:t xml:space="preserve"> nije pokrenut postupak darovanja od strane Ministarstva prostornoga uređenja, graditeljstva i državne imovine. </w:t>
      </w:r>
    </w:p>
    <w:p w14:paraId="42931832" w14:textId="61C182BC" w:rsidR="003016C7" w:rsidRDefault="003016C7" w:rsidP="002C22AA">
      <w:pPr>
        <w:pStyle w:val="StandardWeb"/>
        <w:jc w:val="both"/>
      </w:pPr>
      <w:r>
        <w:t>Tablica 1.</w:t>
      </w:r>
    </w:p>
    <w:tbl>
      <w:tblPr>
        <w:tblStyle w:val="Reetkatablice2"/>
        <w:tblW w:w="921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53"/>
        <w:gridCol w:w="948"/>
        <w:gridCol w:w="1679"/>
        <w:gridCol w:w="1302"/>
        <w:gridCol w:w="3332"/>
      </w:tblGrid>
      <w:tr w:rsidR="003016C7" w:rsidRPr="00842E22" w14:paraId="0E4952E8" w14:textId="77777777" w:rsidTr="003016C7">
        <w:trPr>
          <w:trHeight w:val="700"/>
          <w:jc w:val="center"/>
        </w:trPr>
        <w:tc>
          <w:tcPr>
            <w:tcW w:w="1953" w:type="dxa"/>
            <w:shd w:val="clear" w:color="auto" w:fill="808080" w:themeFill="background1" w:themeFillShade="80"/>
            <w:vAlign w:val="center"/>
          </w:tcPr>
          <w:p w14:paraId="277C88ED" w14:textId="77777777" w:rsidR="003016C7" w:rsidRPr="00842E22" w:rsidRDefault="003016C7" w:rsidP="00ED7586">
            <w:pPr>
              <w:spacing w:line="276" w:lineRule="auto"/>
              <w:contextualSpacing/>
              <w:jc w:val="center"/>
              <w:rPr>
                <w:rFonts w:ascii="Ebrima" w:eastAsia="Times New Roman" w:hAnsi="Ebrima" w:cs="Arial"/>
                <w:color w:val="FF0000"/>
              </w:rPr>
            </w:pPr>
            <w:r w:rsidRPr="00842E22">
              <w:rPr>
                <w:rFonts w:ascii="Ebrima" w:eastAsia="Times New Roman" w:hAnsi="Ebrima" w:cs="Arial"/>
                <w:b/>
                <w:color w:val="FFFFFF"/>
              </w:rPr>
              <w:t>Naziv nekretnine</w:t>
            </w:r>
          </w:p>
        </w:tc>
        <w:tc>
          <w:tcPr>
            <w:tcW w:w="948" w:type="dxa"/>
            <w:shd w:val="clear" w:color="auto" w:fill="808080" w:themeFill="background1" w:themeFillShade="80"/>
            <w:vAlign w:val="center"/>
          </w:tcPr>
          <w:p w14:paraId="6F9DB9A5" w14:textId="77777777" w:rsidR="003016C7" w:rsidRPr="00842E22" w:rsidRDefault="003016C7" w:rsidP="00ED7586">
            <w:pPr>
              <w:spacing w:before="100" w:beforeAutospacing="1" w:after="100" w:afterAutospacing="1"/>
              <w:jc w:val="center"/>
              <w:rPr>
                <w:rFonts w:ascii="Ebrima" w:hAnsi="Ebrima" w:cs="Arial"/>
                <w:color w:val="FF0000"/>
              </w:rPr>
            </w:pPr>
            <w:r w:rsidRPr="00842E22">
              <w:rPr>
                <w:rFonts w:ascii="Ebrima" w:eastAsia="Times New Roman" w:hAnsi="Ebrima" w:cs="Arial"/>
                <w:b/>
                <w:color w:val="FFFFFF"/>
              </w:rPr>
              <w:t>Broj čestice</w:t>
            </w:r>
          </w:p>
        </w:tc>
        <w:tc>
          <w:tcPr>
            <w:tcW w:w="1679" w:type="dxa"/>
            <w:shd w:val="clear" w:color="auto" w:fill="808080" w:themeFill="background1" w:themeFillShade="80"/>
            <w:vAlign w:val="center"/>
          </w:tcPr>
          <w:p w14:paraId="10E7EF12" w14:textId="77777777" w:rsidR="003016C7" w:rsidRPr="00842E22" w:rsidRDefault="003016C7" w:rsidP="00ED7586">
            <w:pPr>
              <w:spacing w:before="100" w:beforeAutospacing="1" w:after="100" w:afterAutospacing="1"/>
              <w:jc w:val="center"/>
              <w:rPr>
                <w:rFonts w:ascii="Ebrima" w:hAnsi="Ebrima" w:cs="Arial"/>
                <w:color w:val="FF0000"/>
              </w:rPr>
            </w:pPr>
            <w:r w:rsidRPr="00842E22">
              <w:rPr>
                <w:rFonts w:ascii="Ebrima" w:eastAsia="Times New Roman" w:hAnsi="Ebrima" w:cs="Arial"/>
                <w:b/>
                <w:color w:val="FFFFFF"/>
              </w:rPr>
              <w:t>Katastarska općina</w:t>
            </w:r>
          </w:p>
        </w:tc>
        <w:tc>
          <w:tcPr>
            <w:tcW w:w="1302" w:type="dxa"/>
            <w:shd w:val="clear" w:color="auto" w:fill="808080" w:themeFill="background1" w:themeFillShade="80"/>
            <w:vAlign w:val="center"/>
          </w:tcPr>
          <w:p w14:paraId="2CCB5065" w14:textId="77777777" w:rsidR="003016C7" w:rsidRPr="00842E22" w:rsidRDefault="003016C7" w:rsidP="00ED7586">
            <w:pPr>
              <w:spacing w:before="100" w:beforeAutospacing="1" w:after="100" w:afterAutospacing="1"/>
              <w:jc w:val="center"/>
              <w:rPr>
                <w:rFonts w:ascii="Ebrima" w:hAnsi="Ebrima" w:cs="Arial"/>
                <w:color w:val="FF0000"/>
              </w:rPr>
            </w:pPr>
            <w:r w:rsidRPr="00842E22">
              <w:rPr>
                <w:rFonts w:ascii="Ebrima" w:eastAsia="Times New Roman" w:hAnsi="Ebrima" w:cs="Arial"/>
                <w:b/>
                <w:color w:val="FFFFFF"/>
              </w:rPr>
              <w:t>Površina (m</w:t>
            </w:r>
            <w:r w:rsidRPr="00842E22">
              <w:rPr>
                <w:rFonts w:ascii="Ebrima" w:eastAsia="Times New Roman" w:hAnsi="Ebrima" w:cs="Arial"/>
                <w:b/>
                <w:color w:val="FFFFFF"/>
                <w:vertAlign w:val="superscript"/>
              </w:rPr>
              <w:t>2</w:t>
            </w:r>
            <w:r w:rsidRPr="00842E22">
              <w:rPr>
                <w:rFonts w:ascii="Ebrima" w:eastAsia="Times New Roman" w:hAnsi="Ebrima" w:cs="Arial"/>
                <w:b/>
                <w:color w:val="FFFFFF"/>
              </w:rPr>
              <w:t>)</w:t>
            </w:r>
          </w:p>
        </w:tc>
        <w:tc>
          <w:tcPr>
            <w:tcW w:w="3332" w:type="dxa"/>
            <w:shd w:val="clear" w:color="auto" w:fill="808080" w:themeFill="background1" w:themeFillShade="80"/>
            <w:vAlign w:val="center"/>
          </w:tcPr>
          <w:p w14:paraId="0ED7F7C7" w14:textId="77777777" w:rsidR="003016C7" w:rsidRPr="00842E22" w:rsidRDefault="003016C7" w:rsidP="00ED7586">
            <w:pPr>
              <w:spacing w:before="100" w:beforeAutospacing="1" w:after="100" w:afterAutospacing="1"/>
              <w:jc w:val="center"/>
              <w:rPr>
                <w:rFonts w:ascii="Ebrima" w:hAnsi="Ebrima" w:cs="Arial"/>
                <w:color w:val="FF0000"/>
              </w:rPr>
            </w:pPr>
            <w:r w:rsidRPr="00842E22">
              <w:rPr>
                <w:rFonts w:ascii="Ebrima" w:eastAsia="Times New Roman" w:hAnsi="Ebrima" w:cs="Arial"/>
                <w:b/>
                <w:color w:val="FFFFFF"/>
              </w:rPr>
              <w:t>Razlog zahtjeva za darovanje</w:t>
            </w:r>
          </w:p>
        </w:tc>
      </w:tr>
      <w:tr w:rsidR="003016C7" w:rsidRPr="00842E22" w14:paraId="119110DE" w14:textId="77777777" w:rsidTr="003016C7">
        <w:trPr>
          <w:jc w:val="center"/>
        </w:trPr>
        <w:tc>
          <w:tcPr>
            <w:tcW w:w="1953" w:type="dxa"/>
            <w:vAlign w:val="center"/>
          </w:tcPr>
          <w:p w14:paraId="2DFE37F1" w14:textId="77777777" w:rsidR="003016C7" w:rsidRPr="00A14DD4" w:rsidRDefault="003016C7" w:rsidP="00ED7586">
            <w:pPr>
              <w:spacing w:line="276" w:lineRule="auto"/>
              <w:contextualSpacing/>
              <w:jc w:val="center"/>
              <w:rPr>
                <w:rFonts w:ascii="Arial" w:eastAsia="Times New Roman" w:hAnsi="Arial" w:cs="Arial"/>
              </w:rPr>
            </w:pPr>
            <w:r w:rsidRPr="00A14DD4">
              <w:rPr>
                <w:rFonts w:ascii="Arial" w:eastAsia="Times New Roman" w:hAnsi="Arial" w:cs="Arial"/>
              </w:rPr>
              <w:t>Zemljište</w:t>
            </w:r>
          </w:p>
        </w:tc>
        <w:tc>
          <w:tcPr>
            <w:tcW w:w="948" w:type="dxa"/>
            <w:vAlign w:val="center"/>
          </w:tcPr>
          <w:p w14:paraId="0CB4F218" w14:textId="77777777" w:rsidR="003016C7" w:rsidRPr="00A14DD4" w:rsidRDefault="003016C7" w:rsidP="00ED7586">
            <w:pPr>
              <w:spacing w:before="100" w:beforeAutospacing="1" w:after="100" w:afterAutospacing="1"/>
              <w:jc w:val="center"/>
              <w:rPr>
                <w:rFonts w:ascii="Arial" w:hAnsi="Arial" w:cs="Arial"/>
              </w:rPr>
            </w:pPr>
            <w:r w:rsidRPr="00A14DD4">
              <w:rPr>
                <w:rFonts w:ascii="Arial" w:hAnsi="Arial" w:cs="Arial"/>
              </w:rPr>
              <w:t>5091/5</w:t>
            </w:r>
          </w:p>
        </w:tc>
        <w:tc>
          <w:tcPr>
            <w:tcW w:w="1679" w:type="dxa"/>
            <w:vAlign w:val="center"/>
          </w:tcPr>
          <w:p w14:paraId="14B83885" w14:textId="77777777" w:rsidR="003016C7" w:rsidRPr="00A14DD4" w:rsidRDefault="003016C7" w:rsidP="00ED7586">
            <w:pPr>
              <w:spacing w:before="100" w:beforeAutospacing="1" w:after="100" w:afterAutospacing="1"/>
              <w:jc w:val="center"/>
              <w:rPr>
                <w:rFonts w:ascii="Arial" w:hAnsi="Arial" w:cs="Arial"/>
              </w:rPr>
            </w:pPr>
            <w:r w:rsidRPr="00A14DD4">
              <w:rPr>
                <w:rFonts w:ascii="Arial" w:hAnsi="Arial" w:cs="Arial"/>
              </w:rPr>
              <w:t>Donja Dubrava</w:t>
            </w:r>
          </w:p>
        </w:tc>
        <w:tc>
          <w:tcPr>
            <w:tcW w:w="1302" w:type="dxa"/>
            <w:vAlign w:val="center"/>
          </w:tcPr>
          <w:p w14:paraId="7A5D09D3" w14:textId="77777777" w:rsidR="003016C7" w:rsidRPr="00294EC4" w:rsidRDefault="003016C7" w:rsidP="00ED7586">
            <w:pPr>
              <w:spacing w:before="100" w:beforeAutospacing="1" w:after="100" w:afterAutospacing="1"/>
              <w:jc w:val="center"/>
              <w:rPr>
                <w:rFonts w:ascii="Arial" w:hAnsi="Arial" w:cs="Arial"/>
                <w:vertAlign w:val="superscript"/>
              </w:rPr>
            </w:pPr>
            <w:r w:rsidRPr="00A14DD4">
              <w:rPr>
                <w:rFonts w:ascii="Arial" w:hAnsi="Arial" w:cs="Arial"/>
              </w:rPr>
              <w:t>4137 m</w:t>
            </w:r>
            <w:r>
              <w:rPr>
                <w:rFonts w:ascii="Arial" w:hAnsi="Arial" w:cs="Arial"/>
                <w:vertAlign w:val="superscript"/>
              </w:rPr>
              <w:t>2</w:t>
            </w:r>
          </w:p>
        </w:tc>
        <w:tc>
          <w:tcPr>
            <w:tcW w:w="3332" w:type="dxa"/>
            <w:vAlign w:val="center"/>
          </w:tcPr>
          <w:p w14:paraId="5E4ED6BE" w14:textId="77777777" w:rsidR="003016C7" w:rsidRPr="00A14DD4" w:rsidRDefault="003016C7" w:rsidP="00ED7586">
            <w:pPr>
              <w:spacing w:before="100" w:beforeAutospacing="1" w:after="100" w:afterAutospacing="1"/>
              <w:jc w:val="center"/>
              <w:rPr>
                <w:rFonts w:ascii="Arial" w:hAnsi="Arial" w:cs="Arial"/>
              </w:rPr>
            </w:pPr>
            <w:r w:rsidRPr="00A14DD4">
              <w:rPr>
                <w:rFonts w:ascii="Arial" w:hAnsi="Arial" w:cs="Arial"/>
              </w:rPr>
              <w:t>Za izgradnju spremišta za plovila</w:t>
            </w:r>
          </w:p>
        </w:tc>
      </w:tr>
      <w:tr w:rsidR="003016C7" w:rsidRPr="00842E22" w14:paraId="1F823DD4" w14:textId="77777777" w:rsidTr="003016C7">
        <w:trPr>
          <w:jc w:val="center"/>
        </w:trPr>
        <w:tc>
          <w:tcPr>
            <w:tcW w:w="1953" w:type="dxa"/>
            <w:vAlign w:val="center"/>
          </w:tcPr>
          <w:p w14:paraId="0540BFF6" w14:textId="77777777" w:rsidR="003016C7" w:rsidRPr="00A14DD4" w:rsidRDefault="003016C7" w:rsidP="00ED7586">
            <w:pPr>
              <w:spacing w:line="276" w:lineRule="auto"/>
              <w:contextualSpacing/>
              <w:jc w:val="center"/>
              <w:rPr>
                <w:rFonts w:ascii="Arial" w:eastAsia="Times New Roman" w:hAnsi="Arial" w:cs="Arial"/>
              </w:rPr>
            </w:pPr>
            <w:r w:rsidRPr="00A14DD4">
              <w:rPr>
                <w:rFonts w:ascii="Arial" w:eastAsia="Times New Roman" w:hAnsi="Arial" w:cs="Arial"/>
              </w:rPr>
              <w:t>Zemljište Ribičkog doma</w:t>
            </w:r>
          </w:p>
        </w:tc>
        <w:tc>
          <w:tcPr>
            <w:tcW w:w="948" w:type="dxa"/>
            <w:vAlign w:val="center"/>
          </w:tcPr>
          <w:p w14:paraId="2010F365" w14:textId="77777777" w:rsidR="003016C7" w:rsidRPr="00A14DD4" w:rsidRDefault="003016C7" w:rsidP="00ED7586">
            <w:pPr>
              <w:spacing w:before="100" w:beforeAutospacing="1" w:after="100" w:afterAutospacing="1"/>
              <w:jc w:val="center"/>
              <w:rPr>
                <w:rFonts w:ascii="Arial" w:hAnsi="Arial" w:cs="Arial"/>
              </w:rPr>
            </w:pPr>
            <w:r w:rsidRPr="00A14DD4">
              <w:rPr>
                <w:rFonts w:ascii="Arial" w:hAnsi="Arial" w:cs="Arial"/>
              </w:rPr>
              <w:t>5073/3</w:t>
            </w:r>
          </w:p>
        </w:tc>
        <w:tc>
          <w:tcPr>
            <w:tcW w:w="1679" w:type="dxa"/>
            <w:vAlign w:val="center"/>
          </w:tcPr>
          <w:p w14:paraId="455637EB" w14:textId="77777777" w:rsidR="003016C7" w:rsidRPr="00A14DD4" w:rsidRDefault="003016C7" w:rsidP="00ED7586">
            <w:pPr>
              <w:spacing w:before="100" w:beforeAutospacing="1" w:after="100" w:afterAutospacing="1"/>
              <w:jc w:val="center"/>
              <w:rPr>
                <w:rFonts w:ascii="Arial" w:hAnsi="Arial" w:cs="Arial"/>
              </w:rPr>
            </w:pPr>
            <w:r w:rsidRPr="00A14DD4">
              <w:rPr>
                <w:rFonts w:ascii="Arial" w:hAnsi="Arial" w:cs="Arial"/>
              </w:rPr>
              <w:t>Donja Dubrava</w:t>
            </w:r>
          </w:p>
        </w:tc>
        <w:tc>
          <w:tcPr>
            <w:tcW w:w="1302" w:type="dxa"/>
            <w:vAlign w:val="center"/>
          </w:tcPr>
          <w:p w14:paraId="17ABFE20" w14:textId="77777777" w:rsidR="003016C7" w:rsidRPr="00A14DD4" w:rsidRDefault="003016C7" w:rsidP="00ED7586">
            <w:pPr>
              <w:spacing w:before="100" w:beforeAutospacing="1" w:after="100" w:afterAutospacing="1"/>
              <w:jc w:val="center"/>
              <w:rPr>
                <w:rFonts w:ascii="Arial" w:hAnsi="Arial" w:cs="Arial"/>
              </w:rPr>
            </w:pPr>
            <w:r w:rsidRPr="00A14DD4">
              <w:rPr>
                <w:rFonts w:ascii="Arial" w:hAnsi="Arial" w:cs="Arial"/>
              </w:rPr>
              <w:t>576 m</w:t>
            </w:r>
            <w:r>
              <w:rPr>
                <w:rFonts w:ascii="Arial" w:hAnsi="Arial" w:cs="Arial"/>
                <w:vertAlign w:val="superscript"/>
              </w:rPr>
              <w:t>2</w:t>
            </w:r>
          </w:p>
        </w:tc>
        <w:tc>
          <w:tcPr>
            <w:tcW w:w="3332" w:type="dxa"/>
            <w:vAlign w:val="center"/>
          </w:tcPr>
          <w:p w14:paraId="3C40DD9A" w14:textId="77777777" w:rsidR="003016C7" w:rsidRPr="00A14DD4" w:rsidRDefault="003016C7" w:rsidP="00ED7586">
            <w:pPr>
              <w:spacing w:before="100" w:beforeAutospacing="1" w:after="100" w:afterAutospacing="1"/>
              <w:jc w:val="center"/>
              <w:rPr>
                <w:rFonts w:ascii="Arial" w:hAnsi="Arial" w:cs="Arial"/>
              </w:rPr>
            </w:pPr>
            <w:r w:rsidRPr="00A14DD4">
              <w:rPr>
                <w:rFonts w:ascii="Arial" w:hAnsi="Arial" w:cs="Arial"/>
              </w:rPr>
              <w:t>Jer se na zemljištu RH nalazi objekt Ribičkog doma u vlasništvu općine</w:t>
            </w:r>
          </w:p>
        </w:tc>
      </w:tr>
      <w:tr w:rsidR="003016C7" w:rsidRPr="00842E22" w14:paraId="6244076F" w14:textId="77777777" w:rsidTr="003016C7">
        <w:trPr>
          <w:jc w:val="center"/>
        </w:trPr>
        <w:tc>
          <w:tcPr>
            <w:tcW w:w="1953" w:type="dxa"/>
            <w:vAlign w:val="center"/>
          </w:tcPr>
          <w:p w14:paraId="628AC288" w14:textId="77777777" w:rsidR="003016C7" w:rsidRPr="00A14DD4" w:rsidRDefault="003016C7" w:rsidP="00ED7586">
            <w:pPr>
              <w:spacing w:line="276" w:lineRule="auto"/>
              <w:contextualSpacing/>
              <w:jc w:val="center"/>
              <w:rPr>
                <w:rFonts w:ascii="Arial" w:eastAsia="Times New Roman" w:hAnsi="Arial" w:cs="Arial"/>
                <w:color w:val="FF0000"/>
              </w:rPr>
            </w:pPr>
          </w:p>
        </w:tc>
        <w:tc>
          <w:tcPr>
            <w:tcW w:w="948" w:type="dxa"/>
            <w:vAlign w:val="center"/>
          </w:tcPr>
          <w:p w14:paraId="0055D76B" w14:textId="77777777" w:rsidR="003016C7" w:rsidRPr="00A14DD4" w:rsidRDefault="003016C7" w:rsidP="00ED7586">
            <w:pPr>
              <w:spacing w:before="100" w:beforeAutospacing="1" w:after="100" w:afterAutospacing="1"/>
              <w:jc w:val="center"/>
              <w:rPr>
                <w:rFonts w:ascii="Arial" w:hAnsi="Arial" w:cs="Arial"/>
              </w:rPr>
            </w:pPr>
            <w:r w:rsidRPr="00A14DD4">
              <w:rPr>
                <w:rFonts w:ascii="Arial" w:hAnsi="Arial" w:cs="Arial"/>
              </w:rPr>
              <w:t>5091/3</w:t>
            </w:r>
          </w:p>
        </w:tc>
        <w:tc>
          <w:tcPr>
            <w:tcW w:w="1679" w:type="dxa"/>
            <w:vAlign w:val="center"/>
          </w:tcPr>
          <w:p w14:paraId="7835C895" w14:textId="77777777" w:rsidR="003016C7" w:rsidRPr="00A14DD4" w:rsidRDefault="003016C7" w:rsidP="00ED7586">
            <w:pPr>
              <w:spacing w:before="100" w:beforeAutospacing="1" w:after="100" w:afterAutospacing="1"/>
              <w:jc w:val="center"/>
              <w:rPr>
                <w:rFonts w:ascii="Arial" w:hAnsi="Arial" w:cs="Arial"/>
              </w:rPr>
            </w:pPr>
            <w:r w:rsidRPr="00A14DD4">
              <w:rPr>
                <w:rFonts w:ascii="Arial" w:hAnsi="Arial" w:cs="Arial"/>
              </w:rPr>
              <w:t>Donja Dubrava</w:t>
            </w:r>
          </w:p>
        </w:tc>
        <w:tc>
          <w:tcPr>
            <w:tcW w:w="1302" w:type="dxa"/>
            <w:vAlign w:val="center"/>
          </w:tcPr>
          <w:p w14:paraId="425CFC7C" w14:textId="77777777" w:rsidR="003016C7" w:rsidRPr="00A14DD4" w:rsidRDefault="003016C7" w:rsidP="00ED7586">
            <w:pPr>
              <w:spacing w:before="100" w:beforeAutospacing="1" w:after="100" w:afterAutospacing="1"/>
              <w:jc w:val="center"/>
              <w:rPr>
                <w:rFonts w:ascii="Arial" w:hAnsi="Arial" w:cs="Arial"/>
              </w:rPr>
            </w:pPr>
            <w:r w:rsidRPr="00A14DD4">
              <w:rPr>
                <w:rFonts w:ascii="Arial" w:hAnsi="Arial" w:cs="Arial"/>
              </w:rPr>
              <w:t>585 m</w:t>
            </w:r>
            <w:r>
              <w:rPr>
                <w:rFonts w:ascii="Arial" w:hAnsi="Arial" w:cs="Arial"/>
                <w:vertAlign w:val="superscript"/>
              </w:rPr>
              <w:t>2</w:t>
            </w:r>
          </w:p>
        </w:tc>
        <w:tc>
          <w:tcPr>
            <w:tcW w:w="3332" w:type="dxa"/>
            <w:vAlign w:val="center"/>
          </w:tcPr>
          <w:p w14:paraId="044EE8C2" w14:textId="77777777" w:rsidR="003016C7" w:rsidRPr="00A14DD4" w:rsidRDefault="003016C7" w:rsidP="00ED7586">
            <w:pPr>
              <w:spacing w:before="100" w:beforeAutospacing="1" w:after="100" w:afterAutospacing="1"/>
              <w:jc w:val="center"/>
              <w:rPr>
                <w:rFonts w:ascii="Arial" w:hAnsi="Arial" w:cs="Arial"/>
                <w:color w:val="FF0000"/>
              </w:rPr>
            </w:pPr>
          </w:p>
        </w:tc>
      </w:tr>
      <w:tr w:rsidR="003016C7" w:rsidRPr="00842E22" w14:paraId="639805E2" w14:textId="77777777" w:rsidTr="003016C7">
        <w:trPr>
          <w:jc w:val="center"/>
        </w:trPr>
        <w:tc>
          <w:tcPr>
            <w:tcW w:w="1953" w:type="dxa"/>
            <w:vAlign w:val="center"/>
          </w:tcPr>
          <w:p w14:paraId="78CC2A50" w14:textId="77777777" w:rsidR="003016C7" w:rsidRPr="00A14DD4" w:rsidRDefault="003016C7" w:rsidP="00ED7586">
            <w:pPr>
              <w:spacing w:line="276" w:lineRule="auto"/>
              <w:contextualSpacing/>
              <w:jc w:val="center"/>
              <w:rPr>
                <w:rFonts w:ascii="Arial" w:eastAsia="Times New Roman" w:hAnsi="Arial" w:cs="Arial"/>
              </w:rPr>
            </w:pPr>
            <w:r w:rsidRPr="00A14DD4">
              <w:rPr>
                <w:rFonts w:ascii="Arial" w:eastAsia="Times New Roman" w:hAnsi="Arial" w:cs="Arial"/>
              </w:rPr>
              <w:t>Zemljište u ulici 3. travnja</w:t>
            </w:r>
          </w:p>
        </w:tc>
        <w:tc>
          <w:tcPr>
            <w:tcW w:w="948" w:type="dxa"/>
            <w:vAlign w:val="center"/>
          </w:tcPr>
          <w:p w14:paraId="4B8029D6" w14:textId="77777777" w:rsidR="003016C7" w:rsidRPr="00A14DD4" w:rsidRDefault="003016C7" w:rsidP="00ED7586">
            <w:pPr>
              <w:spacing w:before="100" w:beforeAutospacing="1" w:after="100" w:afterAutospacing="1"/>
              <w:jc w:val="center"/>
              <w:rPr>
                <w:rFonts w:ascii="Arial" w:hAnsi="Arial" w:cs="Arial"/>
              </w:rPr>
            </w:pPr>
            <w:r w:rsidRPr="00A14DD4">
              <w:rPr>
                <w:rFonts w:ascii="Arial" w:hAnsi="Arial" w:cs="Arial"/>
              </w:rPr>
              <w:t>4280/18</w:t>
            </w:r>
          </w:p>
        </w:tc>
        <w:tc>
          <w:tcPr>
            <w:tcW w:w="1679" w:type="dxa"/>
            <w:vAlign w:val="center"/>
          </w:tcPr>
          <w:p w14:paraId="0ED1CA71" w14:textId="77777777" w:rsidR="003016C7" w:rsidRPr="00A14DD4" w:rsidRDefault="003016C7" w:rsidP="00ED7586">
            <w:pPr>
              <w:spacing w:before="100" w:beforeAutospacing="1" w:after="100" w:afterAutospacing="1"/>
              <w:jc w:val="center"/>
              <w:rPr>
                <w:rFonts w:ascii="Arial" w:hAnsi="Arial" w:cs="Arial"/>
              </w:rPr>
            </w:pPr>
            <w:r w:rsidRPr="00A14DD4">
              <w:rPr>
                <w:rFonts w:ascii="Arial" w:hAnsi="Arial" w:cs="Arial"/>
              </w:rPr>
              <w:t>Donja Dubrava</w:t>
            </w:r>
          </w:p>
        </w:tc>
        <w:tc>
          <w:tcPr>
            <w:tcW w:w="1302" w:type="dxa"/>
            <w:vAlign w:val="center"/>
          </w:tcPr>
          <w:p w14:paraId="21500068" w14:textId="77777777" w:rsidR="003016C7" w:rsidRPr="00A14DD4" w:rsidRDefault="003016C7" w:rsidP="00ED7586">
            <w:pPr>
              <w:spacing w:before="100" w:beforeAutospacing="1" w:after="100" w:afterAutospacing="1"/>
              <w:jc w:val="center"/>
              <w:rPr>
                <w:rFonts w:ascii="Arial" w:hAnsi="Arial" w:cs="Arial"/>
              </w:rPr>
            </w:pPr>
            <w:r w:rsidRPr="00A14DD4">
              <w:rPr>
                <w:rFonts w:ascii="Arial" w:hAnsi="Arial" w:cs="Arial"/>
              </w:rPr>
              <w:t>6549 m</w:t>
            </w:r>
            <w:r>
              <w:rPr>
                <w:rFonts w:ascii="Arial" w:hAnsi="Arial" w:cs="Arial"/>
                <w:vertAlign w:val="superscript"/>
              </w:rPr>
              <w:t>2</w:t>
            </w:r>
          </w:p>
        </w:tc>
        <w:tc>
          <w:tcPr>
            <w:tcW w:w="3332" w:type="dxa"/>
            <w:vAlign w:val="center"/>
          </w:tcPr>
          <w:p w14:paraId="152C67D5" w14:textId="77777777" w:rsidR="003016C7" w:rsidRPr="00A14DD4" w:rsidRDefault="003016C7" w:rsidP="00ED7586">
            <w:pPr>
              <w:spacing w:before="100" w:beforeAutospacing="1" w:after="100" w:afterAutospacing="1"/>
              <w:jc w:val="center"/>
              <w:rPr>
                <w:rFonts w:ascii="Arial" w:hAnsi="Arial" w:cs="Arial"/>
              </w:rPr>
            </w:pPr>
            <w:r w:rsidRPr="00A14DD4">
              <w:rPr>
                <w:rFonts w:ascii="Arial" w:hAnsi="Arial" w:cs="Arial"/>
              </w:rPr>
              <w:t>Zemljište dugi niz godina održava Općina te bi je uredila i stavila u prodaju s obzirom da Općina nema više slobodnih čestica u gospodarskoj zoni</w:t>
            </w:r>
          </w:p>
        </w:tc>
      </w:tr>
    </w:tbl>
    <w:p w14:paraId="7886B3FA" w14:textId="5311A1F2" w:rsidR="002C22AA" w:rsidRDefault="002C22AA" w:rsidP="002C22AA">
      <w:pPr>
        <w:pStyle w:val="StandardWeb"/>
        <w:jc w:val="both"/>
      </w:pPr>
      <w:r>
        <w:t>Upravljanje navedenim nekretninama planirano je kroz Plan upravljanja imovinom Općine Donja Dubrava za 2026. godinu.</w:t>
      </w:r>
    </w:p>
    <w:p w14:paraId="456111B7" w14:textId="77777777" w:rsidR="002C22AA" w:rsidRDefault="002C22AA" w:rsidP="002C22AA">
      <w:pPr>
        <w:pStyle w:val="isselectedend"/>
      </w:pPr>
      <w:r>
        <w:t>Od projekata planiranih u Planu upravljanja imovinom za 2025. godinu realizirani su:</w:t>
      </w:r>
    </w:p>
    <w:p w14:paraId="37F176D8" w14:textId="1C38973A" w:rsidR="002C22AA" w:rsidRDefault="002C22AA" w:rsidP="002C22AA">
      <w:pPr>
        <w:pStyle w:val="isselectedend"/>
        <w:numPr>
          <w:ilvl w:val="0"/>
          <w:numId w:val="1"/>
        </w:numPr>
      </w:pPr>
      <w:r>
        <w:t>obnova pročelja kuće Zalan</w:t>
      </w:r>
      <w:r w:rsidR="003016C7">
        <w:t xml:space="preserve"> (dio pročelja)</w:t>
      </w:r>
      <w:r>
        <w:t>,</w:t>
      </w:r>
    </w:p>
    <w:p w14:paraId="4568FC62" w14:textId="77777777" w:rsidR="002C22AA" w:rsidRDefault="002C22AA" w:rsidP="002C22AA">
      <w:pPr>
        <w:pStyle w:val="isselectedend"/>
        <w:numPr>
          <w:ilvl w:val="0"/>
          <w:numId w:val="1"/>
        </w:numPr>
      </w:pPr>
      <w:r>
        <w:t>izgradnja oborinske odvodnje na dijelu ulica na području Općine Donja Dubrava.</w:t>
      </w:r>
    </w:p>
    <w:p w14:paraId="67A7131E" w14:textId="77777777" w:rsidR="002C22AA" w:rsidRDefault="002C22AA" w:rsidP="002C22AA">
      <w:pPr>
        <w:pStyle w:val="isselectedend"/>
        <w:jc w:val="both"/>
      </w:pPr>
      <w:r>
        <w:t>Navedeni projekti uspješno su provedeni te doprinose očuvanju imovine, poboljšanju komunalne infrastrukture i kvaliteti života stanovnika Općine.</w:t>
      </w:r>
    </w:p>
    <w:p w14:paraId="29F843AE" w14:textId="77777777" w:rsidR="0007588A" w:rsidRDefault="0007588A" w:rsidP="0007588A">
      <w:pPr>
        <w:pStyle w:val="isselectedend"/>
        <w:jc w:val="both"/>
      </w:pPr>
      <w:r>
        <w:t xml:space="preserve">Programom razvoja poduzetničkih zona 2004. – 2007. postavljeni su opći ciljevi razvoja poduzetničkih zona, među kojima su razvoj poduzetničkih zona u blizini većih naselja, poticanje proizvodne djelatnosti kao osnovne namjene zona, omogućavanje osnivanja i </w:t>
      </w:r>
      <w:r>
        <w:lastRenderedPageBreak/>
        <w:t>izgradnje proizvodnih objekata u što kraćem roku te osiguravanje podrške poduzetnicima kroz edukaciju i savjetovanje u području financiranja, proizvodnje i poslovanja. Također, jedan od ciljeva bio je ravnomjeran razvoj poduzetničkih zona radi smanjenja razlika u gospodarskom standardu između pojedinih županija.</w:t>
      </w:r>
    </w:p>
    <w:p w14:paraId="34492D59" w14:textId="77777777" w:rsidR="0007588A" w:rsidRDefault="0007588A" w:rsidP="0007588A">
      <w:pPr>
        <w:pStyle w:val="isselectedend"/>
        <w:jc w:val="both"/>
      </w:pPr>
      <w:r>
        <w:t>Unatoč navedenim ciljevima, Općina nije u potpunosti uspjela ostvariti planiranu dinamiku razvoja poduzetničke zone. Naime, dio parcela u zoni prodan je privatnim vlasnicima, no na određenom broju tih parcela do danas nije započela izgradnja proizvodnih objekata. Pojedine čestice stoje neiskorištene već duži niz godina, čime nije ostvaren osnovni cilj Programa – razvoj proizvodnih kapaciteta i otvaranje novih radnih mjesta.</w:t>
      </w:r>
    </w:p>
    <w:p w14:paraId="765D7F94" w14:textId="77777777" w:rsidR="0007588A" w:rsidRDefault="0007588A" w:rsidP="0007588A">
      <w:pPr>
        <w:pStyle w:val="isselectedend"/>
        <w:jc w:val="both"/>
      </w:pPr>
      <w:r>
        <w:t>S obzirom na navedeno, u narednom razdoblju planira se dodatno urediti način raspolaganja i korištenja parcela u poduzetničkoj zoni, kako bi se potaknula njihova aktivacija i stavljanje u gospodarsku funkciju. U tom smislu razmotrit će se donošenje odgovarajućih odluka i mjera kojima bi se jasno definirali rokovi za realizaciju investicija, odnosno druge mogućnosti raspolaganja parcelama koje dulje vrijeme ostaju neiskorištene.</w:t>
      </w:r>
    </w:p>
    <w:p w14:paraId="7BF43F35" w14:textId="77777777" w:rsidR="0007588A" w:rsidRDefault="0007588A" w:rsidP="0007588A">
      <w:pPr>
        <w:pStyle w:val="StandardWeb"/>
        <w:jc w:val="both"/>
      </w:pPr>
      <w:r>
        <w:t>Cilj navedenih aktivnosti je potaknuti stvarni gospodarski razvoj zone, omogućiti izgradnju proizvodnih objekata te stvoriti uvjete za nova ulaganja, zapošljavanje i jačanje lokalnog gospodarstva.</w:t>
      </w:r>
    </w:p>
    <w:p w14:paraId="0F9545BC" w14:textId="0038D313" w:rsidR="002C22AA" w:rsidRDefault="002C22AA" w:rsidP="002C22AA">
      <w:pPr>
        <w:pStyle w:val="StandardWeb"/>
        <w:jc w:val="both"/>
      </w:pPr>
      <w:r>
        <w:t xml:space="preserve">Slijedom navedenoga može se zaključiti da su aktivnosti predviđene Planom upravljanja imovinom Općine Donja Dubrava za 2025. godinu </w:t>
      </w:r>
      <w:r w:rsidR="0007588A">
        <w:t>djelomično</w:t>
      </w:r>
      <w:r>
        <w:t xml:space="preserve"> realizirane, a preostale aktivnosti planirane su za provedbu u narednom planskom razdoblju.</w:t>
      </w:r>
    </w:p>
    <w:p w14:paraId="48E00517" w14:textId="77777777" w:rsidR="0007588A" w:rsidRDefault="0007588A" w:rsidP="002C22AA">
      <w:pPr>
        <w:pStyle w:val="StandardWeb"/>
        <w:jc w:val="both"/>
      </w:pPr>
    </w:p>
    <w:p w14:paraId="2F75B483" w14:textId="77777777" w:rsidR="0007588A" w:rsidRDefault="0007588A" w:rsidP="002C22AA">
      <w:pPr>
        <w:pStyle w:val="StandardWeb"/>
        <w:jc w:val="both"/>
      </w:pPr>
    </w:p>
    <w:p w14:paraId="3D57D22F" w14:textId="77777777" w:rsidR="0007588A" w:rsidRDefault="0007588A" w:rsidP="002C22AA">
      <w:pPr>
        <w:pStyle w:val="StandardWeb"/>
        <w:jc w:val="both"/>
      </w:pPr>
    </w:p>
    <w:p w14:paraId="14D7C651" w14:textId="77777777" w:rsidR="0007588A" w:rsidRDefault="0007588A" w:rsidP="002C22AA">
      <w:pPr>
        <w:pStyle w:val="StandardWeb"/>
        <w:jc w:val="both"/>
      </w:pPr>
    </w:p>
    <w:p w14:paraId="0BCA72F7" w14:textId="77777777" w:rsidR="0007588A" w:rsidRDefault="0007588A" w:rsidP="002C22AA">
      <w:pPr>
        <w:pStyle w:val="StandardWeb"/>
        <w:jc w:val="both"/>
      </w:pPr>
    </w:p>
    <w:p w14:paraId="26DB585B" w14:textId="77777777" w:rsidR="0007588A" w:rsidRDefault="0007588A" w:rsidP="002C22AA">
      <w:pPr>
        <w:pStyle w:val="StandardWeb"/>
        <w:jc w:val="both"/>
      </w:pPr>
    </w:p>
    <w:p w14:paraId="775327AE" w14:textId="77777777" w:rsidR="0007588A" w:rsidRDefault="0007588A" w:rsidP="002C22AA">
      <w:pPr>
        <w:pStyle w:val="StandardWeb"/>
        <w:jc w:val="both"/>
      </w:pPr>
    </w:p>
    <w:p w14:paraId="6F949884" w14:textId="77777777" w:rsidR="0007588A" w:rsidRDefault="0007588A" w:rsidP="002C22AA">
      <w:pPr>
        <w:pStyle w:val="StandardWeb"/>
        <w:jc w:val="both"/>
      </w:pPr>
    </w:p>
    <w:p w14:paraId="07925E1E" w14:textId="77777777" w:rsidR="0007588A" w:rsidRDefault="0007588A" w:rsidP="002C22AA">
      <w:pPr>
        <w:pStyle w:val="StandardWeb"/>
        <w:jc w:val="both"/>
      </w:pPr>
    </w:p>
    <w:p w14:paraId="21CD4467" w14:textId="77777777" w:rsidR="0007588A" w:rsidRDefault="0007588A" w:rsidP="002C22AA">
      <w:pPr>
        <w:pStyle w:val="StandardWeb"/>
        <w:jc w:val="both"/>
      </w:pPr>
    </w:p>
    <w:p w14:paraId="7416B23F" w14:textId="77777777" w:rsidR="0007588A" w:rsidRDefault="0007588A" w:rsidP="002C22AA">
      <w:pPr>
        <w:pStyle w:val="StandardWeb"/>
        <w:jc w:val="both"/>
      </w:pPr>
    </w:p>
    <w:p w14:paraId="7B5BBD22" w14:textId="77777777" w:rsidR="0007588A" w:rsidRDefault="0007588A" w:rsidP="002C22AA">
      <w:pPr>
        <w:pStyle w:val="StandardWeb"/>
        <w:jc w:val="both"/>
      </w:pPr>
    </w:p>
    <w:p w14:paraId="36AA6F5E" w14:textId="77777777" w:rsidR="0007588A" w:rsidRDefault="0007588A" w:rsidP="002C22AA">
      <w:pPr>
        <w:pStyle w:val="StandardWeb"/>
        <w:jc w:val="both"/>
      </w:pPr>
    </w:p>
    <w:tbl>
      <w:tblPr>
        <w:tblStyle w:val="Reetkatablice"/>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119"/>
        <w:gridCol w:w="1454"/>
        <w:gridCol w:w="4358"/>
      </w:tblGrid>
      <w:tr w:rsidR="001D0BEC" w14:paraId="070D8630" w14:textId="77777777" w:rsidTr="00F92A6A">
        <w:tc>
          <w:tcPr>
            <w:tcW w:w="709" w:type="dxa"/>
            <w:tcMar>
              <w:left w:w="0" w:type="dxa"/>
              <w:right w:w="0" w:type="dxa"/>
            </w:tcMar>
          </w:tcPr>
          <w:p w14:paraId="1672F468" w14:textId="77777777" w:rsidR="001D0BEC" w:rsidRDefault="001D0BEC" w:rsidP="00F92A6A">
            <w:bookmarkStart w:id="0" w:name="_Hlk90036807"/>
          </w:p>
        </w:tc>
        <w:tc>
          <w:tcPr>
            <w:tcW w:w="3119" w:type="dxa"/>
            <w:tcMar>
              <w:left w:w="0" w:type="dxa"/>
              <w:right w:w="0" w:type="dxa"/>
            </w:tcMar>
            <w:vAlign w:val="center"/>
          </w:tcPr>
          <w:p w14:paraId="5316EA69" w14:textId="77777777" w:rsidR="001D0BEC" w:rsidRDefault="001D0BEC" w:rsidP="00F92A6A">
            <w:pPr>
              <w:jc w:val="center"/>
            </w:pPr>
            <w:r>
              <w:rPr>
                <w:noProof/>
              </w:rPr>
              <w:drawing>
                <wp:inline distT="0" distB="0" distL="0" distR="0" wp14:anchorId="004CD7AE" wp14:editId="1EFAE609">
                  <wp:extent cx="323591" cy="428137"/>
                  <wp:effectExtent l="0" t="0" r="63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887" cy="439113"/>
                          </a:xfrm>
                          <a:prstGeom prst="rect">
                            <a:avLst/>
                          </a:prstGeom>
                          <a:noFill/>
                          <a:ln>
                            <a:noFill/>
                          </a:ln>
                        </pic:spPr>
                      </pic:pic>
                    </a:graphicData>
                  </a:graphic>
                </wp:inline>
              </w:drawing>
            </w:r>
          </w:p>
        </w:tc>
        <w:tc>
          <w:tcPr>
            <w:tcW w:w="1454" w:type="dxa"/>
          </w:tcPr>
          <w:p w14:paraId="312B9390" w14:textId="77777777" w:rsidR="001D0BEC" w:rsidRDefault="001D0BEC" w:rsidP="00F92A6A">
            <w:pPr>
              <w:jc w:val="center"/>
              <w:rPr>
                <w:noProof/>
              </w:rPr>
            </w:pPr>
          </w:p>
        </w:tc>
        <w:tc>
          <w:tcPr>
            <w:tcW w:w="4358" w:type="dxa"/>
          </w:tcPr>
          <w:p w14:paraId="6FC8D7D9" w14:textId="77777777" w:rsidR="001D0BEC" w:rsidRDefault="001D0BEC" w:rsidP="00F92A6A">
            <w:pPr>
              <w:jc w:val="center"/>
              <w:rPr>
                <w:noProof/>
              </w:rPr>
            </w:pPr>
          </w:p>
        </w:tc>
      </w:tr>
      <w:tr w:rsidR="001D0BEC" w:rsidRPr="00121744" w14:paraId="710F3D5A" w14:textId="77777777" w:rsidTr="00F92A6A">
        <w:tc>
          <w:tcPr>
            <w:tcW w:w="709" w:type="dxa"/>
            <w:tcMar>
              <w:left w:w="0" w:type="dxa"/>
              <w:right w:w="0" w:type="dxa"/>
            </w:tcMar>
          </w:tcPr>
          <w:p w14:paraId="2CE197B6" w14:textId="77777777" w:rsidR="001D0BEC" w:rsidRPr="00121744" w:rsidRDefault="001D0BEC" w:rsidP="00F92A6A">
            <w:pPr>
              <w:rPr>
                <w:rFonts w:ascii="Times New Roman" w:hAnsi="Times New Roman" w:cs="Times New Roman"/>
              </w:rPr>
            </w:pPr>
          </w:p>
        </w:tc>
        <w:tc>
          <w:tcPr>
            <w:tcW w:w="3119" w:type="dxa"/>
            <w:tcMar>
              <w:left w:w="0" w:type="dxa"/>
              <w:right w:w="0" w:type="dxa"/>
            </w:tcMar>
            <w:vAlign w:val="center"/>
          </w:tcPr>
          <w:p w14:paraId="6585E467" w14:textId="77777777" w:rsidR="001D0BEC" w:rsidRPr="00121744" w:rsidRDefault="001D0BEC" w:rsidP="00F92A6A">
            <w:pPr>
              <w:jc w:val="center"/>
              <w:rPr>
                <w:rFonts w:ascii="Times New Roman" w:hAnsi="Times New Roman" w:cs="Times New Roman"/>
                <w:b/>
                <w:bCs/>
              </w:rPr>
            </w:pPr>
            <w:r w:rsidRPr="00121744">
              <w:rPr>
                <w:rFonts w:ascii="Times New Roman" w:hAnsi="Times New Roman" w:cs="Times New Roman"/>
                <w:b/>
                <w:bCs/>
              </w:rPr>
              <w:t>REPUBLIKA HRVATSKA</w:t>
            </w:r>
          </w:p>
        </w:tc>
        <w:tc>
          <w:tcPr>
            <w:tcW w:w="1454" w:type="dxa"/>
          </w:tcPr>
          <w:p w14:paraId="5C98219A" w14:textId="77777777" w:rsidR="001D0BEC" w:rsidRPr="00121744" w:rsidRDefault="001D0BEC" w:rsidP="00F92A6A">
            <w:pPr>
              <w:jc w:val="center"/>
              <w:rPr>
                <w:rFonts w:ascii="Times New Roman" w:hAnsi="Times New Roman" w:cs="Times New Roman"/>
                <w:b/>
                <w:bCs/>
              </w:rPr>
            </w:pPr>
          </w:p>
        </w:tc>
        <w:tc>
          <w:tcPr>
            <w:tcW w:w="4358" w:type="dxa"/>
          </w:tcPr>
          <w:p w14:paraId="534DF726" w14:textId="77777777" w:rsidR="001D0BEC" w:rsidRPr="00121744" w:rsidRDefault="001D0BEC" w:rsidP="00F92A6A">
            <w:pPr>
              <w:jc w:val="center"/>
              <w:rPr>
                <w:rFonts w:ascii="Times New Roman" w:hAnsi="Times New Roman" w:cs="Times New Roman"/>
                <w:b/>
                <w:bCs/>
              </w:rPr>
            </w:pPr>
          </w:p>
        </w:tc>
      </w:tr>
      <w:tr w:rsidR="001D0BEC" w:rsidRPr="00121744" w14:paraId="0CDE29A9" w14:textId="77777777" w:rsidTr="00F92A6A">
        <w:tc>
          <w:tcPr>
            <w:tcW w:w="709" w:type="dxa"/>
            <w:tcMar>
              <w:left w:w="0" w:type="dxa"/>
              <w:right w:w="0" w:type="dxa"/>
            </w:tcMar>
          </w:tcPr>
          <w:p w14:paraId="70B189A6" w14:textId="77777777" w:rsidR="001D0BEC" w:rsidRPr="00121744" w:rsidRDefault="001D0BEC" w:rsidP="00F92A6A">
            <w:pPr>
              <w:rPr>
                <w:rFonts w:ascii="Times New Roman" w:hAnsi="Times New Roman" w:cs="Times New Roman"/>
              </w:rPr>
            </w:pPr>
          </w:p>
        </w:tc>
        <w:tc>
          <w:tcPr>
            <w:tcW w:w="3119" w:type="dxa"/>
            <w:tcMar>
              <w:left w:w="0" w:type="dxa"/>
              <w:right w:w="0" w:type="dxa"/>
            </w:tcMar>
            <w:vAlign w:val="center"/>
          </w:tcPr>
          <w:p w14:paraId="65FA8B21" w14:textId="77777777" w:rsidR="001D0BEC" w:rsidRPr="00121744" w:rsidRDefault="001D0BEC" w:rsidP="00F92A6A">
            <w:pPr>
              <w:jc w:val="center"/>
              <w:rPr>
                <w:rFonts w:ascii="Times New Roman" w:hAnsi="Times New Roman" w:cs="Times New Roman"/>
              </w:rPr>
            </w:pPr>
            <w:r w:rsidRPr="00121744">
              <w:rPr>
                <w:rFonts w:ascii="Times New Roman" w:hAnsi="Times New Roman" w:cs="Times New Roman"/>
              </w:rPr>
              <w:t>Međimurska županija</w:t>
            </w:r>
          </w:p>
        </w:tc>
        <w:tc>
          <w:tcPr>
            <w:tcW w:w="1454" w:type="dxa"/>
          </w:tcPr>
          <w:p w14:paraId="57B86B7F" w14:textId="77777777" w:rsidR="001D0BEC" w:rsidRPr="00121744" w:rsidRDefault="001D0BEC" w:rsidP="00F92A6A">
            <w:pPr>
              <w:jc w:val="center"/>
              <w:rPr>
                <w:rFonts w:ascii="Times New Roman" w:hAnsi="Times New Roman" w:cs="Times New Roman"/>
                <w:b/>
                <w:bCs/>
              </w:rPr>
            </w:pPr>
          </w:p>
        </w:tc>
        <w:tc>
          <w:tcPr>
            <w:tcW w:w="4358" w:type="dxa"/>
          </w:tcPr>
          <w:p w14:paraId="5900C04D" w14:textId="77777777" w:rsidR="001D0BEC" w:rsidRPr="00121744" w:rsidRDefault="001D0BEC" w:rsidP="00F92A6A">
            <w:pPr>
              <w:jc w:val="center"/>
              <w:rPr>
                <w:rFonts w:ascii="Times New Roman" w:hAnsi="Times New Roman" w:cs="Times New Roman"/>
                <w:b/>
                <w:bCs/>
              </w:rPr>
            </w:pPr>
          </w:p>
        </w:tc>
      </w:tr>
      <w:tr w:rsidR="001D0BEC" w:rsidRPr="00121744" w14:paraId="1FD83F46" w14:textId="77777777" w:rsidTr="00F92A6A">
        <w:tc>
          <w:tcPr>
            <w:tcW w:w="709" w:type="dxa"/>
            <w:tcMar>
              <w:left w:w="0" w:type="dxa"/>
              <w:right w:w="0" w:type="dxa"/>
            </w:tcMar>
            <w:vAlign w:val="center"/>
          </w:tcPr>
          <w:p w14:paraId="41F0EA26" w14:textId="77777777" w:rsidR="001D0BEC" w:rsidRPr="00121744" w:rsidRDefault="001D0BEC" w:rsidP="00F92A6A">
            <w:pPr>
              <w:jc w:val="center"/>
              <w:rPr>
                <w:rFonts w:ascii="Times New Roman" w:hAnsi="Times New Roman" w:cs="Times New Roman"/>
                <w:noProof/>
              </w:rPr>
            </w:pPr>
            <w:r w:rsidRPr="00121744">
              <w:rPr>
                <w:rFonts w:ascii="Times New Roman" w:hAnsi="Times New Roman" w:cs="Times New Roman"/>
                <w:noProof/>
              </w:rPr>
              <w:drawing>
                <wp:inline distT="0" distB="0" distL="0" distR="0" wp14:anchorId="1A57A71D" wp14:editId="2FB2BC1B">
                  <wp:extent cx="342900" cy="42862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9196" cy="436495"/>
                          </a:xfrm>
                          <a:prstGeom prst="rect">
                            <a:avLst/>
                          </a:prstGeom>
                        </pic:spPr>
                      </pic:pic>
                    </a:graphicData>
                  </a:graphic>
                </wp:inline>
              </w:drawing>
            </w:r>
          </w:p>
        </w:tc>
        <w:tc>
          <w:tcPr>
            <w:tcW w:w="3119" w:type="dxa"/>
            <w:tcMar>
              <w:left w:w="0" w:type="dxa"/>
              <w:right w:w="0" w:type="dxa"/>
            </w:tcMar>
            <w:vAlign w:val="center"/>
          </w:tcPr>
          <w:p w14:paraId="52537EA8" w14:textId="77777777" w:rsidR="001D0BEC" w:rsidRPr="00121744" w:rsidRDefault="001D0BEC" w:rsidP="00F92A6A">
            <w:pPr>
              <w:jc w:val="center"/>
              <w:rPr>
                <w:rFonts w:ascii="Times New Roman" w:hAnsi="Times New Roman" w:cs="Times New Roman"/>
              </w:rPr>
            </w:pPr>
            <w:r w:rsidRPr="00121744">
              <w:rPr>
                <w:rFonts w:ascii="Times New Roman" w:hAnsi="Times New Roman" w:cs="Times New Roman"/>
              </w:rPr>
              <w:t xml:space="preserve">Općina Donja Dubrava </w:t>
            </w:r>
            <w:r w:rsidRPr="00121744">
              <w:rPr>
                <w:rFonts w:ascii="Times New Roman" w:hAnsi="Times New Roman" w:cs="Times New Roman"/>
                <w:b/>
                <w:bCs/>
              </w:rPr>
              <w:t>Općinsko vijeće</w:t>
            </w:r>
          </w:p>
        </w:tc>
        <w:tc>
          <w:tcPr>
            <w:tcW w:w="1454" w:type="dxa"/>
          </w:tcPr>
          <w:p w14:paraId="682EDE7A" w14:textId="77777777" w:rsidR="001D0BEC" w:rsidRPr="00121744" w:rsidRDefault="001D0BEC" w:rsidP="00F92A6A">
            <w:pPr>
              <w:jc w:val="center"/>
              <w:rPr>
                <w:rFonts w:ascii="Times New Roman" w:hAnsi="Times New Roman" w:cs="Times New Roman"/>
              </w:rPr>
            </w:pPr>
          </w:p>
        </w:tc>
        <w:tc>
          <w:tcPr>
            <w:tcW w:w="4358" w:type="dxa"/>
          </w:tcPr>
          <w:p w14:paraId="6919DA4A" w14:textId="77777777" w:rsidR="001D0BEC" w:rsidRPr="00121744" w:rsidRDefault="001D0BEC" w:rsidP="00F92A6A">
            <w:pPr>
              <w:jc w:val="center"/>
              <w:rPr>
                <w:rFonts w:ascii="Times New Roman" w:hAnsi="Times New Roman" w:cs="Times New Roman"/>
              </w:rPr>
            </w:pPr>
          </w:p>
        </w:tc>
      </w:tr>
      <w:tr w:rsidR="001D0BEC" w:rsidRPr="00121744" w14:paraId="0394CE79" w14:textId="77777777" w:rsidTr="00F92A6A">
        <w:tc>
          <w:tcPr>
            <w:tcW w:w="5279" w:type="dxa"/>
            <w:gridSpan w:val="3"/>
            <w:tcMar>
              <w:left w:w="0" w:type="dxa"/>
              <w:right w:w="0" w:type="dxa"/>
            </w:tcMar>
          </w:tcPr>
          <w:p w14:paraId="4600139B" w14:textId="77777777" w:rsidR="001D0BEC" w:rsidRPr="00121744" w:rsidRDefault="001D0BEC" w:rsidP="00F92A6A">
            <w:pPr>
              <w:rPr>
                <w:rFonts w:ascii="Times New Roman" w:hAnsi="Times New Roman" w:cs="Times New Roman"/>
              </w:rPr>
            </w:pPr>
          </w:p>
        </w:tc>
        <w:tc>
          <w:tcPr>
            <w:tcW w:w="4358" w:type="dxa"/>
          </w:tcPr>
          <w:p w14:paraId="0BFCFD79" w14:textId="77777777" w:rsidR="001D0BEC" w:rsidRPr="00121744" w:rsidRDefault="001D0BEC" w:rsidP="00F92A6A">
            <w:pPr>
              <w:jc w:val="center"/>
              <w:rPr>
                <w:rFonts w:ascii="Times New Roman" w:hAnsi="Times New Roman" w:cs="Times New Roman"/>
              </w:rPr>
            </w:pPr>
          </w:p>
        </w:tc>
      </w:tr>
      <w:tr w:rsidR="001D0BEC" w:rsidRPr="00121744" w14:paraId="0823B73D" w14:textId="77777777" w:rsidTr="00F92A6A">
        <w:tc>
          <w:tcPr>
            <w:tcW w:w="5279" w:type="dxa"/>
            <w:gridSpan w:val="3"/>
            <w:tcMar>
              <w:left w:w="0" w:type="dxa"/>
              <w:right w:w="0" w:type="dxa"/>
            </w:tcMar>
          </w:tcPr>
          <w:p w14:paraId="7EC19E51" w14:textId="77777777" w:rsidR="001D0BEC" w:rsidRPr="00121744" w:rsidRDefault="001D0BEC" w:rsidP="00F92A6A">
            <w:pPr>
              <w:rPr>
                <w:rFonts w:ascii="Times New Roman" w:hAnsi="Times New Roman" w:cs="Times New Roman"/>
              </w:rPr>
            </w:pPr>
            <w:r w:rsidRPr="00121744">
              <w:rPr>
                <w:rFonts w:ascii="Times New Roman" w:hAnsi="Times New Roman" w:cs="Times New Roman"/>
              </w:rPr>
              <w:t xml:space="preserve">KLASA: </w:t>
            </w:r>
            <w:r>
              <w:rPr>
                <w:rFonts w:ascii="Times New Roman" w:hAnsi="Times New Roman" w:cs="Times New Roman"/>
              </w:rPr>
              <w:t>024-04/26-01/01</w:t>
            </w:r>
          </w:p>
        </w:tc>
        <w:tc>
          <w:tcPr>
            <w:tcW w:w="4358" w:type="dxa"/>
          </w:tcPr>
          <w:p w14:paraId="64E389A0" w14:textId="77777777" w:rsidR="001D0BEC" w:rsidRPr="00121744" w:rsidRDefault="001D0BEC" w:rsidP="00F92A6A">
            <w:pPr>
              <w:jc w:val="center"/>
              <w:rPr>
                <w:rFonts w:ascii="Times New Roman" w:hAnsi="Times New Roman" w:cs="Times New Roman"/>
              </w:rPr>
            </w:pPr>
          </w:p>
        </w:tc>
      </w:tr>
      <w:tr w:rsidR="001D0BEC" w:rsidRPr="00121744" w14:paraId="2A63C258" w14:textId="77777777" w:rsidTr="00F92A6A">
        <w:tc>
          <w:tcPr>
            <w:tcW w:w="5279" w:type="dxa"/>
            <w:gridSpan w:val="3"/>
            <w:tcMar>
              <w:left w:w="0" w:type="dxa"/>
              <w:right w:w="0" w:type="dxa"/>
            </w:tcMar>
          </w:tcPr>
          <w:p w14:paraId="5D395927" w14:textId="50642BC7" w:rsidR="001D0BEC" w:rsidRPr="00121744" w:rsidRDefault="001D0BEC" w:rsidP="00F92A6A">
            <w:pPr>
              <w:rPr>
                <w:rFonts w:ascii="Times New Roman" w:hAnsi="Times New Roman" w:cs="Times New Roman"/>
              </w:rPr>
            </w:pPr>
            <w:r w:rsidRPr="00121744">
              <w:rPr>
                <w:rFonts w:ascii="Times New Roman" w:hAnsi="Times New Roman" w:cs="Times New Roman"/>
              </w:rPr>
              <w:t>URBROJ: 2109-5-03-2</w:t>
            </w:r>
            <w:r>
              <w:rPr>
                <w:rFonts w:ascii="Times New Roman" w:hAnsi="Times New Roman" w:cs="Times New Roman"/>
              </w:rPr>
              <w:t>6-</w:t>
            </w:r>
            <w:r w:rsidR="001A7744">
              <w:rPr>
                <w:rFonts w:ascii="Times New Roman" w:hAnsi="Times New Roman" w:cs="Times New Roman"/>
              </w:rPr>
              <w:t>23</w:t>
            </w:r>
          </w:p>
        </w:tc>
        <w:tc>
          <w:tcPr>
            <w:tcW w:w="4358" w:type="dxa"/>
          </w:tcPr>
          <w:p w14:paraId="7C1E1DA2" w14:textId="77777777" w:rsidR="001D0BEC" w:rsidRPr="00121744" w:rsidRDefault="001D0BEC" w:rsidP="00F92A6A">
            <w:pPr>
              <w:jc w:val="center"/>
              <w:rPr>
                <w:rFonts w:ascii="Times New Roman" w:hAnsi="Times New Roman" w:cs="Times New Roman"/>
              </w:rPr>
            </w:pPr>
          </w:p>
        </w:tc>
      </w:tr>
      <w:tr w:rsidR="001D0BEC" w:rsidRPr="00121744" w14:paraId="6CA7E6C4" w14:textId="77777777" w:rsidTr="00F92A6A">
        <w:tc>
          <w:tcPr>
            <w:tcW w:w="5279" w:type="dxa"/>
            <w:gridSpan w:val="3"/>
            <w:tcMar>
              <w:left w:w="0" w:type="dxa"/>
              <w:right w:w="0" w:type="dxa"/>
            </w:tcMar>
          </w:tcPr>
          <w:p w14:paraId="5023726C" w14:textId="087CDAB9" w:rsidR="001D0BEC" w:rsidRPr="00121744" w:rsidRDefault="001D0BEC" w:rsidP="00F92A6A">
            <w:pPr>
              <w:rPr>
                <w:rFonts w:ascii="Times New Roman" w:hAnsi="Times New Roman" w:cs="Times New Roman"/>
              </w:rPr>
            </w:pPr>
            <w:r w:rsidRPr="00121744">
              <w:rPr>
                <w:rFonts w:ascii="Times New Roman" w:hAnsi="Times New Roman" w:cs="Times New Roman"/>
              </w:rPr>
              <w:t xml:space="preserve">Donja Dubrava, </w:t>
            </w:r>
            <w:r>
              <w:rPr>
                <w:rFonts w:ascii="Times New Roman" w:hAnsi="Times New Roman" w:cs="Times New Roman"/>
              </w:rPr>
              <w:t>25.03.2026.</w:t>
            </w:r>
          </w:p>
        </w:tc>
        <w:tc>
          <w:tcPr>
            <w:tcW w:w="4358" w:type="dxa"/>
          </w:tcPr>
          <w:p w14:paraId="7AE98BDF" w14:textId="77777777" w:rsidR="001D0BEC" w:rsidRPr="00121744" w:rsidRDefault="001D0BEC" w:rsidP="00F92A6A">
            <w:pPr>
              <w:jc w:val="center"/>
              <w:rPr>
                <w:rFonts w:ascii="Times New Roman" w:hAnsi="Times New Roman" w:cs="Times New Roman"/>
              </w:rPr>
            </w:pPr>
          </w:p>
        </w:tc>
      </w:tr>
    </w:tbl>
    <w:bookmarkEnd w:id="0"/>
    <w:p w14:paraId="6684DE02" w14:textId="2C8509D9" w:rsidR="003016C7" w:rsidRDefault="003016C7" w:rsidP="003016C7">
      <w:pPr>
        <w:pStyle w:val="isselectedend"/>
        <w:jc w:val="both"/>
      </w:pPr>
      <w:r>
        <w:t>Na temelju razmatranja Izvješća o provedbi Plana upravljanja imovinom Općine Donja Dubrava za 2025. godinu, Općinsko vijeće Općine Donja Dubrava na svojoj 7. sjednici održanoj dana 25.03.2026. godine donosi</w:t>
      </w:r>
    </w:p>
    <w:p w14:paraId="7C0ECA81" w14:textId="77777777" w:rsidR="003016C7" w:rsidRDefault="003016C7" w:rsidP="003016C7">
      <w:pPr>
        <w:pStyle w:val="isselectedend"/>
        <w:jc w:val="both"/>
      </w:pPr>
    </w:p>
    <w:p w14:paraId="1245E286" w14:textId="77777777" w:rsidR="003016C7" w:rsidRDefault="003016C7" w:rsidP="003016C7">
      <w:pPr>
        <w:pStyle w:val="isselectedend"/>
        <w:jc w:val="center"/>
      </w:pPr>
      <w:r>
        <w:rPr>
          <w:rStyle w:val="Naglaeno"/>
          <w:rFonts w:eastAsiaTheme="majorEastAsia"/>
        </w:rPr>
        <w:t>ZAKLJUČAK</w:t>
      </w:r>
      <w:r>
        <w:rPr>
          <w:b/>
          <w:bCs/>
        </w:rPr>
        <w:br/>
      </w:r>
      <w:r>
        <w:rPr>
          <w:rStyle w:val="Naglaeno"/>
          <w:rFonts w:eastAsiaTheme="majorEastAsia"/>
        </w:rPr>
        <w:t>o prihvaćanju Izvješća o provedbi Plana upravljanja imovinom Općine Donja Dubrava za 2025. godinu</w:t>
      </w:r>
    </w:p>
    <w:p w14:paraId="1E0FE275" w14:textId="77777777" w:rsidR="003016C7" w:rsidRDefault="003016C7" w:rsidP="003016C7">
      <w:pPr>
        <w:pStyle w:val="isselectedend"/>
        <w:jc w:val="center"/>
      </w:pPr>
      <w:r>
        <w:rPr>
          <w:rStyle w:val="Naglaeno"/>
          <w:rFonts w:eastAsiaTheme="majorEastAsia"/>
        </w:rPr>
        <w:t>Članak 1.</w:t>
      </w:r>
    </w:p>
    <w:p w14:paraId="626F69AF" w14:textId="77777777" w:rsidR="003016C7" w:rsidRDefault="003016C7" w:rsidP="003016C7">
      <w:pPr>
        <w:pStyle w:val="isselectedend"/>
      </w:pPr>
      <w:r>
        <w:t>Prihvaća se Izvješće o provedbi Plana upravljanja imovinom Općine Donja Dubrava za 2025. godinu.</w:t>
      </w:r>
    </w:p>
    <w:p w14:paraId="67364DD7" w14:textId="77777777" w:rsidR="003016C7" w:rsidRDefault="003016C7" w:rsidP="003016C7">
      <w:pPr>
        <w:pStyle w:val="isselectedend"/>
        <w:jc w:val="center"/>
      </w:pPr>
      <w:r>
        <w:rPr>
          <w:rStyle w:val="Naglaeno"/>
          <w:rFonts w:eastAsiaTheme="majorEastAsia"/>
        </w:rPr>
        <w:t>Članak 2.</w:t>
      </w:r>
    </w:p>
    <w:p w14:paraId="29552732" w14:textId="77777777" w:rsidR="003016C7" w:rsidRDefault="003016C7" w:rsidP="003016C7">
      <w:pPr>
        <w:pStyle w:val="StandardWeb"/>
      </w:pPr>
      <w:r>
        <w:t>Ovaj Zaključak stupa na snagu danom donošenja.</w:t>
      </w:r>
    </w:p>
    <w:p w14:paraId="148C9CB5" w14:textId="77777777" w:rsidR="003016C7" w:rsidRDefault="003016C7" w:rsidP="003016C7">
      <w:pPr>
        <w:pStyle w:val="StandardWeb"/>
      </w:pPr>
    </w:p>
    <w:p w14:paraId="36FBF169" w14:textId="69BB03A1" w:rsidR="003016C7" w:rsidRDefault="003016C7" w:rsidP="003016C7">
      <w:pPr>
        <w:pStyle w:val="StandardWeb"/>
        <w:jc w:val="right"/>
      </w:pPr>
      <w:r>
        <w:t>PREDSJEDNIK OPĆINSKOG VIJEĆA</w:t>
      </w:r>
    </w:p>
    <w:p w14:paraId="4A4E2B8B" w14:textId="3DB7925D" w:rsidR="003016C7" w:rsidRDefault="003016C7" w:rsidP="003016C7">
      <w:pPr>
        <w:pStyle w:val="StandardWeb"/>
        <w:jc w:val="right"/>
      </w:pPr>
      <w:r>
        <w:t>Romeo Čituš</w:t>
      </w:r>
    </w:p>
    <w:p w14:paraId="2788E95A" w14:textId="77777777" w:rsidR="002C22AA" w:rsidRDefault="002C22AA" w:rsidP="002C22AA">
      <w:pPr>
        <w:pStyle w:val="StandardWeb"/>
        <w:jc w:val="both"/>
      </w:pPr>
    </w:p>
    <w:p w14:paraId="0B2DE9C7" w14:textId="77777777" w:rsidR="007F099D" w:rsidRDefault="007F099D"/>
    <w:sectPr w:rsidR="007F09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Ebrima">
    <w:panose1 w:val="02000000000000000000"/>
    <w:charset w:val="EE"/>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85A21"/>
    <w:multiLevelType w:val="multilevel"/>
    <w:tmpl w:val="E564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0519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AA"/>
    <w:rsid w:val="0007588A"/>
    <w:rsid w:val="000C2163"/>
    <w:rsid w:val="000D6FA9"/>
    <w:rsid w:val="001A7744"/>
    <w:rsid w:val="001D0BEC"/>
    <w:rsid w:val="002C22AA"/>
    <w:rsid w:val="003016C7"/>
    <w:rsid w:val="003F095B"/>
    <w:rsid w:val="007F099D"/>
    <w:rsid w:val="00940D56"/>
    <w:rsid w:val="009A1E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A276C"/>
  <w15:chartTrackingRefBased/>
  <w15:docId w15:val="{D1EA5528-E9AC-45DA-A3E9-4445A13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C22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C22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C22A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C22A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C22AA"/>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C22A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C22A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C22A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C22A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C22A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C22A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C22A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C22A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C22A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C22A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C22A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C22A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C22AA"/>
    <w:rPr>
      <w:rFonts w:eastAsiaTheme="majorEastAsia" w:cstheme="majorBidi"/>
      <w:color w:val="272727" w:themeColor="text1" w:themeTint="D8"/>
    </w:rPr>
  </w:style>
  <w:style w:type="paragraph" w:styleId="Naslov">
    <w:name w:val="Title"/>
    <w:basedOn w:val="Normal"/>
    <w:next w:val="Normal"/>
    <w:link w:val="NaslovChar"/>
    <w:uiPriority w:val="10"/>
    <w:qFormat/>
    <w:rsid w:val="002C2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C22A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C22A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C22A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C22AA"/>
    <w:pPr>
      <w:spacing w:before="160"/>
      <w:jc w:val="center"/>
    </w:pPr>
    <w:rPr>
      <w:i/>
      <w:iCs/>
      <w:color w:val="404040" w:themeColor="text1" w:themeTint="BF"/>
    </w:rPr>
  </w:style>
  <w:style w:type="character" w:customStyle="1" w:styleId="CitatChar">
    <w:name w:val="Citat Char"/>
    <w:basedOn w:val="Zadanifontodlomka"/>
    <w:link w:val="Citat"/>
    <w:uiPriority w:val="29"/>
    <w:rsid w:val="002C22AA"/>
    <w:rPr>
      <w:i/>
      <w:iCs/>
      <w:color w:val="404040" w:themeColor="text1" w:themeTint="BF"/>
    </w:rPr>
  </w:style>
  <w:style w:type="paragraph" w:styleId="Odlomakpopisa">
    <w:name w:val="List Paragraph"/>
    <w:basedOn w:val="Normal"/>
    <w:uiPriority w:val="34"/>
    <w:qFormat/>
    <w:rsid w:val="002C22AA"/>
    <w:pPr>
      <w:ind w:left="720"/>
      <w:contextualSpacing/>
    </w:pPr>
  </w:style>
  <w:style w:type="character" w:styleId="Jakoisticanje">
    <w:name w:val="Intense Emphasis"/>
    <w:basedOn w:val="Zadanifontodlomka"/>
    <w:uiPriority w:val="21"/>
    <w:qFormat/>
    <w:rsid w:val="002C22AA"/>
    <w:rPr>
      <w:i/>
      <w:iCs/>
      <w:color w:val="2F5496" w:themeColor="accent1" w:themeShade="BF"/>
    </w:rPr>
  </w:style>
  <w:style w:type="paragraph" w:styleId="Naglaencitat">
    <w:name w:val="Intense Quote"/>
    <w:basedOn w:val="Normal"/>
    <w:next w:val="Normal"/>
    <w:link w:val="NaglaencitatChar"/>
    <w:uiPriority w:val="30"/>
    <w:qFormat/>
    <w:rsid w:val="002C2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C22AA"/>
    <w:rPr>
      <w:i/>
      <w:iCs/>
      <w:color w:val="2F5496" w:themeColor="accent1" w:themeShade="BF"/>
    </w:rPr>
  </w:style>
  <w:style w:type="character" w:styleId="Istaknutareferenca">
    <w:name w:val="Intense Reference"/>
    <w:basedOn w:val="Zadanifontodlomka"/>
    <w:uiPriority w:val="32"/>
    <w:qFormat/>
    <w:rsid w:val="002C22AA"/>
    <w:rPr>
      <w:b/>
      <w:bCs/>
      <w:smallCaps/>
      <w:color w:val="2F5496" w:themeColor="accent1" w:themeShade="BF"/>
      <w:spacing w:val="5"/>
    </w:rPr>
  </w:style>
  <w:style w:type="paragraph" w:customStyle="1" w:styleId="isselectedend">
    <w:name w:val="isselectedend"/>
    <w:basedOn w:val="Normal"/>
    <w:rsid w:val="002C22AA"/>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styleId="Naglaeno">
    <w:name w:val="Strong"/>
    <w:basedOn w:val="Zadanifontodlomka"/>
    <w:uiPriority w:val="22"/>
    <w:qFormat/>
    <w:rsid w:val="002C22AA"/>
    <w:rPr>
      <w:b/>
      <w:bCs/>
    </w:rPr>
  </w:style>
  <w:style w:type="paragraph" w:styleId="StandardWeb">
    <w:name w:val="Normal (Web)"/>
    <w:basedOn w:val="Normal"/>
    <w:uiPriority w:val="99"/>
    <w:semiHidden/>
    <w:unhideWhenUsed/>
    <w:rsid w:val="002C22AA"/>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table" w:customStyle="1" w:styleId="Reetkatablice2">
    <w:name w:val="Rešetka tablice2"/>
    <w:basedOn w:val="Obinatablica"/>
    <w:next w:val="Reetkatablice"/>
    <w:uiPriority w:val="59"/>
    <w:locked/>
    <w:rsid w:val="003016C7"/>
    <w:pPr>
      <w:spacing w:after="0" w:line="240" w:lineRule="auto"/>
    </w:pPr>
    <w:rPr>
      <w:rFonts w:ascii="Calibri" w:eastAsia="Calibri" w:hAnsi="Calibri"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301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Opcina DD</dc:creator>
  <cp:keywords/>
  <dc:description/>
  <cp:lastModifiedBy>Monika Opcina DD</cp:lastModifiedBy>
  <cp:revision>5</cp:revision>
  <dcterms:created xsi:type="dcterms:W3CDTF">2026-03-13T10:04:00Z</dcterms:created>
  <dcterms:modified xsi:type="dcterms:W3CDTF">2026-04-01T12:14:00Z</dcterms:modified>
</cp:coreProperties>
</file>